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重庆兴泰濠制药有限公司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 Athenex 制药基地原料药项目（二阶段）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2022.7.10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蔡  刚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S011053000110202001778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项目名称：Athenex制药基地原料药项目（二阶段）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建设单位：重庆兴泰濠制药有限公司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建设地点：巴南区麻柳沿江开发区麻柳组团A13-1/01地块重庆兴泰濠制药有限公司厂内合成车间一二楼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建设性质：新建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DejaVu Sans"/>
                <w:bCs w:val="0"/>
                <w:spacing w:val="0"/>
                <w:sz w:val="24"/>
                <w:szCs w:val="24"/>
              </w:rPr>
              <w:t>占地面积：83.55亩</w:t>
            </w:r>
            <w:r>
              <w:rPr>
                <w:rFonts w:hint="eastAsia" w:ascii="宋体" w:hAnsi="宋体" w:cs="宋体"/>
                <w:sz w:val="24"/>
                <w:szCs w:val="24"/>
              </w:rPr>
              <w:t>（此次建设在原有厂房内新增设备、设施，因此不新增占地面积）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建筑面积：41202.22m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（此次不新增建筑面积，依托已经建好的厂房。）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工程投资：二阶段项目总投资2500万元，其中安全投资230万元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劳动定员：二阶段劳动定员55人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生产组织及管理：二阶段项目生产过程为间歇生产，生产岗位实行四班三运转制，管理人员和辅助生产人员实行常日班制或轮值班制。建 设 期：12个月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17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1、合成车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间一上平台的扶梯处人体静电消除装置无标识。</w:t>
            </w:r>
          </w:p>
          <w:p>
            <w:pPr>
              <w:widowControl/>
              <w:spacing w:line="480" w:lineRule="auto"/>
              <w:jc w:val="center"/>
              <w:textAlignment w:val="center"/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2、洗眼喷淋器无标识。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606165" cy="2705735"/>
                  <wp:effectExtent l="0" t="0" r="635" b="12065"/>
                  <wp:docPr id="1" name="图片 1" descr="微信图片_202205191007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519100712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6165" cy="270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600450" cy="2700655"/>
                  <wp:effectExtent l="0" t="0" r="6350" b="4445"/>
                  <wp:docPr id="2" name="图片 2" descr="IMG_20220519_100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20519_10012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70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531235" cy="2648585"/>
                  <wp:effectExtent l="0" t="0" r="5715" b="12065"/>
                  <wp:docPr id="3" name="图片 3" descr="IMG_20220519_0958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0220519_09581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 flipH="1">
                            <a:off x="0" y="0"/>
                            <a:ext cx="3531235" cy="264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B411499"/>
    <w:rsid w:val="0C582AB4"/>
    <w:rsid w:val="0E260C3F"/>
    <w:rsid w:val="0EAE61A4"/>
    <w:rsid w:val="1BD75A6E"/>
    <w:rsid w:val="1E0A5972"/>
    <w:rsid w:val="25DA4CCA"/>
    <w:rsid w:val="32D428D9"/>
    <w:rsid w:val="3A237236"/>
    <w:rsid w:val="3F09421F"/>
    <w:rsid w:val="45AC43AD"/>
    <w:rsid w:val="4AC614AD"/>
    <w:rsid w:val="53ED2F93"/>
    <w:rsid w:val="567B285F"/>
    <w:rsid w:val="5AC55D48"/>
    <w:rsid w:val="5E424E66"/>
    <w:rsid w:val="60EE18F5"/>
    <w:rsid w:val="61D80288"/>
    <w:rsid w:val="63B92DAD"/>
    <w:rsid w:val="6550459C"/>
    <w:rsid w:val="69870A53"/>
    <w:rsid w:val="6AA80907"/>
    <w:rsid w:val="6FAE5ED7"/>
    <w:rsid w:val="71B32A07"/>
    <w:rsid w:val="73F90F2F"/>
    <w:rsid w:val="766B22AD"/>
    <w:rsid w:val="76C54122"/>
    <w:rsid w:val="7B011489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2023-03-10T10:38:26Z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3E0539D38366479CAC747C1E5DA27DE2</vt:lpwstr>
  </property>
</Properties>
</file>